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708"/>
        <w:gridCol w:w="5318"/>
      </w:tblGrid>
      <w:tr w:rsidR="0014344B" w:rsidRPr="0014344B" w:rsidTr="007A40BC">
        <w:tc>
          <w:tcPr>
            <w:tcW w:w="2054" w:type="pct"/>
          </w:tcPr>
          <w:p w:rsidR="0014344B" w:rsidRPr="0014344B" w:rsidRDefault="0014344B" w:rsidP="007A40BC">
            <w:pPr>
              <w:spacing w:before="120"/>
              <w:rPr>
                <w:rFonts w:ascii="Times New Roman" w:hAnsi="Times New Roman" w:cs="Times New Roman"/>
                <w:b/>
              </w:rPr>
            </w:pPr>
            <w:r w:rsidRPr="0014344B">
              <w:rPr>
                <w:rFonts w:ascii="Times New Roman" w:hAnsi="Times New Roman" w:cs="Times New Roman"/>
              </w:rPr>
              <w:t>Mã chương …………….…</w:t>
            </w:r>
            <w:r w:rsidRPr="0014344B">
              <w:rPr>
                <w:rFonts w:ascii="Times New Roman" w:hAnsi="Times New Roman" w:cs="Times New Roman"/>
              </w:rPr>
              <w:br/>
              <w:t>Đơn vị báo cáo: ……………</w:t>
            </w:r>
            <w:r w:rsidRPr="0014344B">
              <w:rPr>
                <w:rFonts w:ascii="Times New Roman" w:hAnsi="Times New Roman" w:cs="Times New Roman"/>
              </w:rPr>
              <w:br/>
              <w:t>Mã ĐVQHNS: ………………</w:t>
            </w:r>
          </w:p>
        </w:tc>
        <w:tc>
          <w:tcPr>
            <w:tcW w:w="2946" w:type="pct"/>
          </w:tcPr>
          <w:p w:rsidR="0014344B" w:rsidRPr="0014344B" w:rsidRDefault="0014344B" w:rsidP="007A40BC">
            <w:pPr>
              <w:spacing w:before="120"/>
              <w:jc w:val="center"/>
              <w:rPr>
                <w:rFonts w:ascii="Times New Roman" w:hAnsi="Times New Roman" w:cs="Times New Roman"/>
                <w:b/>
              </w:rPr>
            </w:pPr>
            <w:bookmarkStart w:id="0" w:name="_GoBack"/>
            <w:r w:rsidRPr="0014344B">
              <w:rPr>
                <w:rFonts w:ascii="Times New Roman" w:hAnsi="Times New Roman" w:cs="Times New Roman"/>
                <w:b/>
              </w:rPr>
              <w:t>Mẫu số B01/BCQT</w:t>
            </w:r>
            <w:bookmarkEnd w:id="0"/>
          </w:p>
          <w:p w:rsidR="0014344B" w:rsidRPr="0014344B" w:rsidRDefault="0014344B" w:rsidP="007A40BC">
            <w:pPr>
              <w:spacing w:before="120"/>
              <w:jc w:val="center"/>
              <w:rPr>
                <w:rFonts w:ascii="Times New Roman" w:hAnsi="Times New Roman" w:cs="Times New Roman"/>
              </w:rPr>
            </w:pPr>
            <w:r w:rsidRPr="0014344B">
              <w:rPr>
                <w:rFonts w:ascii="Times New Roman" w:hAnsi="Times New Roman" w:cs="Times New Roman"/>
                <w:i/>
              </w:rPr>
              <w:t>(Ban hành theo Thông tư số 107/2017/TT-BTC ngày 10/10/2017 của Bộ Tài chính)</w:t>
            </w:r>
          </w:p>
        </w:tc>
      </w:tr>
    </w:tbl>
    <w:p w:rsidR="0014344B" w:rsidRPr="0014344B" w:rsidRDefault="0014344B" w:rsidP="0014344B">
      <w:pPr>
        <w:tabs>
          <w:tab w:val="right" w:leader="dot" w:pos="8505"/>
        </w:tabs>
        <w:spacing w:before="120"/>
        <w:ind w:right="6"/>
        <w:rPr>
          <w:rFonts w:ascii="Times New Roman" w:hAnsi="Times New Roman" w:cs="Times New Roman"/>
        </w:rPr>
      </w:pPr>
    </w:p>
    <w:p w:rsidR="0014344B" w:rsidRPr="0014344B" w:rsidRDefault="0014344B" w:rsidP="0014344B">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 xml:space="preserve">BÁO CÁO QUYẾT TOÁN KINH PHÍ HOẠT ĐỘNG </w:t>
      </w:r>
    </w:p>
    <w:p w:rsidR="0014344B" w:rsidRPr="0014344B" w:rsidRDefault="0014344B" w:rsidP="0014344B">
      <w:pPr>
        <w:tabs>
          <w:tab w:val="right" w:leader="dot" w:pos="8505"/>
        </w:tabs>
        <w:spacing w:before="120"/>
        <w:ind w:right="6"/>
        <w:jc w:val="center"/>
        <w:rPr>
          <w:rFonts w:ascii="Times New Roman" w:hAnsi="Times New Roman" w:cs="Times New Roman"/>
          <w:i/>
        </w:rPr>
      </w:pPr>
      <w:r w:rsidRPr="0014344B">
        <w:rPr>
          <w:rFonts w:ascii="Times New Roman" w:hAnsi="Times New Roman" w:cs="Times New Roman"/>
          <w:i/>
        </w:rPr>
        <w:t>Năm ....</w:t>
      </w:r>
    </w:p>
    <w:p w:rsidR="0014344B" w:rsidRPr="0014344B" w:rsidRDefault="0014344B" w:rsidP="0014344B">
      <w:pPr>
        <w:tabs>
          <w:tab w:val="right" w:leader="dot" w:pos="8505"/>
        </w:tabs>
        <w:spacing w:before="120"/>
        <w:ind w:right="6"/>
        <w:jc w:val="right"/>
        <w:rPr>
          <w:rFonts w:ascii="Times New Roman" w:hAnsi="Times New Roman" w:cs="Times New Roman"/>
          <w:i/>
        </w:rPr>
      </w:pPr>
      <w:r w:rsidRPr="0014344B">
        <w:rPr>
          <w:rFonts w:ascii="Times New Roman" w:hAnsi="Times New Roman" w:cs="Times New Roman"/>
          <w:i/>
        </w:rPr>
        <w:t>Đơn vị: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9"/>
        <w:gridCol w:w="1874"/>
        <w:gridCol w:w="427"/>
        <w:gridCol w:w="775"/>
        <w:gridCol w:w="775"/>
        <w:gridCol w:w="968"/>
        <w:gridCol w:w="972"/>
        <w:gridCol w:w="775"/>
        <w:gridCol w:w="968"/>
        <w:gridCol w:w="963"/>
      </w:tblGrid>
      <w:tr w:rsidR="0014344B" w:rsidRPr="0014344B" w:rsidTr="007A40BC">
        <w:tblPrEx>
          <w:tblCellMar>
            <w:top w:w="0" w:type="dxa"/>
            <w:left w:w="0" w:type="dxa"/>
            <w:bottom w:w="0" w:type="dxa"/>
            <w:right w:w="0" w:type="dxa"/>
          </w:tblCellMar>
        </w:tblPrEx>
        <w:tc>
          <w:tcPr>
            <w:tcW w:w="287" w:type="pct"/>
            <w:vMerge w:val="restar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STT</w:t>
            </w:r>
          </w:p>
        </w:tc>
        <w:tc>
          <w:tcPr>
            <w:tcW w:w="1039" w:type="pct"/>
            <w:vMerge w:val="restar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CHỈ TIÊU</w:t>
            </w:r>
          </w:p>
        </w:tc>
        <w:tc>
          <w:tcPr>
            <w:tcW w:w="237" w:type="pct"/>
            <w:vMerge w:val="restar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MÃ SỐ</w:t>
            </w:r>
          </w:p>
        </w:tc>
        <w:tc>
          <w:tcPr>
            <w:tcW w:w="430" w:type="pct"/>
            <w:vMerge w:val="restar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TỔNG SỐ</w:t>
            </w:r>
          </w:p>
        </w:tc>
        <w:tc>
          <w:tcPr>
            <w:tcW w:w="1506" w:type="pct"/>
            <w:gridSpan w:val="3"/>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LOẠI</w:t>
            </w:r>
          </w:p>
        </w:tc>
        <w:tc>
          <w:tcPr>
            <w:tcW w:w="1502" w:type="pct"/>
            <w:gridSpan w:val="3"/>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LOẠI</w:t>
            </w:r>
          </w:p>
        </w:tc>
      </w:tr>
      <w:tr w:rsidR="0014344B" w:rsidRPr="0014344B" w:rsidTr="007A40BC">
        <w:tblPrEx>
          <w:tblCellMar>
            <w:top w:w="0" w:type="dxa"/>
            <w:left w:w="0" w:type="dxa"/>
            <w:bottom w:w="0" w:type="dxa"/>
            <w:right w:w="0" w:type="dxa"/>
          </w:tblCellMar>
        </w:tblPrEx>
        <w:tc>
          <w:tcPr>
            <w:tcW w:w="287" w:type="pct"/>
            <w:vMerge/>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vMerge/>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rPr>
            </w:pPr>
          </w:p>
        </w:tc>
        <w:tc>
          <w:tcPr>
            <w:tcW w:w="237" w:type="pct"/>
            <w:vMerge/>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vMerge/>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TỔNG SỐ</w:t>
            </w: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KHOẢN …</w:t>
            </w: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 xml:space="preserve">KHOẢN … </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TỔNG SỐ</w:t>
            </w: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KHOẢN …</w:t>
            </w: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KHOẢN …</w:t>
            </w: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A</w:t>
            </w:r>
          </w:p>
        </w:tc>
        <w:tc>
          <w:tcPr>
            <w:tcW w:w="10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B</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C</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1</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2</w:t>
            </w: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3</w:t>
            </w: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4</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5</w:t>
            </w: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6</w:t>
            </w: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7</w:t>
            </w: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A</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NGÂN SÁCH NHÀ NƯỚC</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I</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NGUỒN NGÂN SÁCH TRONG NƯỚC</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1</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Số dư kinh phí năm trước chuyển sang (01=02+05)</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01</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r w:rsidRPr="0014344B">
              <w:rPr>
                <w:rFonts w:ascii="Times New Roman" w:hAnsi="Times New Roman" w:cs="Times New Roman"/>
                <w:i/>
              </w:rPr>
              <w:t>1.1</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Kinh phí thường xuyên/tự chủ (02=03+04)</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02</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rPr>
            </w:pPr>
            <w:r w:rsidRPr="0014344B">
              <w:rPr>
                <w:rFonts w:ascii="Times New Roman" w:hAnsi="Times New Roman" w:cs="Times New Roman"/>
              </w:rPr>
              <w:t>- Kinh phí đã nhận</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03</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rPr>
            </w:pPr>
            <w:r w:rsidRPr="0014344B">
              <w:rPr>
                <w:rFonts w:ascii="Times New Roman" w:hAnsi="Times New Roman" w:cs="Times New Roman"/>
              </w:rPr>
              <w:t>- Dự toán còn dư ở Kho bạc</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04</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r w:rsidRPr="0014344B">
              <w:rPr>
                <w:rFonts w:ascii="Times New Roman" w:hAnsi="Times New Roman" w:cs="Times New Roman"/>
                <w:i/>
              </w:rPr>
              <w:t>1.2</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Kinh phí không thường xuyên/không tự chủ (05=06+07)</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r w:rsidRPr="0014344B">
              <w:rPr>
                <w:rFonts w:ascii="Times New Roman" w:hAnsi="Times New Roman" w:cs="Times New Roman"/>
                <w:i/>
              </w:rPr>
              <w:t>05</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rPr>
            </w:pPr>
            <w:r w:rsidRPr="0014344B">
              <w:rPr>
                <w:rFonts w:ascii="Times New Roman" w:hAnsi="Times New Roman" w:cs="Times New Roman"/>
              </w:rPr>
              <w:t>- Kinh phí đã nhận</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06</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rPr>
            </w:pPr>
            <w:r w:rsidRPr="0014344B">
              <w:rPr>
                <w:rFonts w:ascii="Times New Roman" w:hAnsi="Times New Roman" w:cs="Times New Roman"/>
              </w:rPr>
              <w:t>- Dự toán còn dư ở Kho bạc</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07</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2</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Dự toán được giao trong năm (08=09+10)</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08</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 Kinh phí thường xuyên/tự chủ</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09</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 xml:space="preserve">- Kinh phí không thường </w:t>
            </w:r>
            <w:r w:rsidRPr="0014344B">
              <w:rPr>
                <w:rFonts w:ascii="Times New Roman" w:hAnsi="Times New Roman" w:cs="Times New Roman"/>
                <w:i/>
              </w:rPr>
              <w:lastRenderedPageBreak/>
              <w:t>xuyên/không tự chủ</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lastRenderedPageBreak/>
              <w:t>10</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lastRenderedPageBreak/>
              <w:t>3</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Tổng số được sử dụng trong năm (11=12+ 13)</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11</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 Kinh phí thường xuyên/tự chủ (12=02+09)</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12</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 Kinh phí không thường xuyên/không tự chủ (13=05+10)</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13</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4</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Kinh phí thực nhận trong năm (14=15+16)</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14</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 Kinh phí thường xuyên/tự chủ</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15</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 Kinh phí không thường xuyên/không tự chủ</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16</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5</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Kinh phí đề nghị quyết toán (17=18+19)</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17</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 Kinh phí thường xuyên/tự chủ</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18</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 Kinh phí không thường xuyên/không tự chủ</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19</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6</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Kinh phí giảm trong năm (20=21+25)</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20</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r w:rsidRPr="0014344B">
              <w:rPr>
                <w:rFonts w:ascii="Times New Roman" w:hAnsi="Times New Roman" w:cs="Times New Roman"/>
                <w:i/>
              </w:rPr>
              <w:t>6.1</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Kinh phí thường xuyên/tự chủ (21 =22+23+24)</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21</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rPr>
            </w:pPr>
            <w:r w:rsidRPr="0014344B">
              <w:rPr>
                <w:rFonts w:ascii="Times New Roman" w:hAnsi="Times New Roman" w:cs="Times New Roman"/>
              </w:rPr>
              <w:t>- Đã nộp NSNN</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22</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rPr>
            </w:pPr>
            <w:r w:rsidRPr="0014344B">
              <w:rPr>
                <w:rFonts w:ascii="Times New Roman" w:hAnsi="Times New Roman" w:cs="Times New Roman"/>
              </w:rPr>
              <w:t>- Còn phải nộp NSNN (23=03+15-18- 22-31)</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23</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rPr>
            </w:pPr>
            <w:r w:rsidRPr="0014344B">
              <w:rPr>
                <w:rFonts w:ascii="Times New Roman" w:hAnsi="Times New Roman" w:cs="Times New Roman"/>
              </w:rPr>
              <w:t>- Dự toán bị hủy (24=04+09-15-32)</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24</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r w:rsidRPr="0014344B">
              <w:rPr>
                <w:rFonts w:ascii="Times New Roman" w:hAnsi="Times New Roman" w:cs="Times New Roman"/>
                <w:i/>
              </w:rPr>
              <w:lastRenderedPageBreak/>
              <w:t>6.2</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Kinh phí không thường xuyên/không tự chủ (25=26+27+28)</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25</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rPr>
            </w:pPr>
            <w:r w:rsidRPr="0014344B">
              <w:rPr>
                <w:rFonts w:ascii="Times New Roman" w:hAnsi="Times New Roman" w:cs="Times New Roman"/>
              </w:rPr>
              <w:t>- Đã nộp NSNN</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26</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rPr>
            </w:pPr>
            <w:r w:rsidRPr="0014344B">
              <w:rPr>
                <w:rFonts w:ascii="Times New Roman" w:hAnsi="Times New Roman" w:cs="Times New Roman"/>
              </w:rPr>
              <w:t>- Còn phải nộp NSNN (27=06+16-19- 26-34)</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27</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rPr>
            </w:pPr>
            <w:r w:rsidRPr="0014344B">
              <w:rPr>
                <w:rFonts w:ascii="Times New Roman" w:hAnsi="Times New Roman" w:cs="Times New Roman"/>
              </w:rPr>
              <w:t>- Dự toán bị hủy (28=07+10-16-35)</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28</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7</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Số dư kinh phí được phép chuyển sang năm sau sử dụng và quyết toán (29=30+33)</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29</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r w:rsidRPr="0014344B">
              <w:rPr>
                <w:rFonts w:ascii="Times New Roman" w:hAnsi="Times New Roman" w:cs="Times New Roman"/>
                <w:i/>
              </w:rPr>
              <w:t>7.1</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Kinh phí thường xuyên/tự chủ (30=31+32)</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30</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rPr>
            </w:pPr>
            <w:r w:rsidRPr="0014344B">
              <w:rPr>
                <w:rFonts w:ascii="Times New Roman" w:hAnsi="Times New Roman" w:cs="Times New Roman"/>
              </w:rPr>
              <w:t>- Kinh phí đã nhận</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31</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rPr>
            </w:pPr>
            <w:r w:rsidRPr="0014344B">
              <w:rPr>
                <w:rFonts w:ascii="Times New Roman" w:hAnsi="Times New Roman" w:cs="Times New Roman"/>
              </w:rPr>
              <w:t>- Dự toán còn dư ở Kho bạc</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32</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r w:rsidRPr="0014344B">
              <w:rPr>
                <w:rFonts w:ascii="Times New Roman" w:hAnsi="Times New Roman" w:cs="Times New Roman"/>
                <w:i/>
              </w:rPr>
              <w:t>7.2</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7.2. Kinh phí không thường xuyên/không tự chủ (33=34+35)</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33</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rPr>
            </w:pPr>
            <w:r w:rsidRPr="0014344B">
              <w:rPr>
                <w:rFonts w:ascii="Times New Roman" w:hAnsi="Times New Roman" w:cs="Times New Roman"/>
              </w:rPr>
              <w:t>- Kinh phí đã nhận</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34</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rPr>
            </w:pPr>
            <w:r w:rsidRPr="0014344B">
              <w:rPr>
                <w:rFonts w:ascii="Times New Roman" w:hAnsi="Times New Roman" w:cs="Times New Roman"/>
              </w:rPr>
              <w:t>- Dự toán còn dư ở Kho bạc</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35</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II</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NGUỒN VỐN VIỆN TRỢ</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1</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Số dư kinh phí năm trước chuyển sang</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rPr>
              <w:t>36</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2</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Dự toán được giao trong năm</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37</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3</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Tổng kinh phí đã nhận viện trợ trong năm (38=39+4(3)</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38</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rPr>
            </w:pPr>
            <w:r w:rsidRPr="0014344B">
              <w:rPr>
                <w:rFonts w:ascii="Times New Roman" w:hAnsi="Times New Roman" w:cs="Times New Roman"/>
              </w:rPr>
              <w:t xml:space="preserve">- Số đã ghi thu, ghi </w:t>
            </w:r>
            <w:r w:rsidRPr="0014344B">
              <w:rPr>
                <w:rFonts w:ascii="Times New Roman" w:hAnsi="Times New Roman" w:cs="Times New Roman"/>
              </w:rPr>
              <w:lastRenderedPageBreak/>
              <w:t>tạm ứng</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lastRenderedPageBreak/>
              <w:t>39</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rPr>
            </w:pPr>
            <w:r w:rsidRPr="0014344B">
              <w:rPr>
                <w:rFonts w:ascii="Times New Roman" w:hAnsi="Times New Roman" w:cs="Times New Roman"/>
              </w:rPr>
              <w:t>- Số đã ghi thu, ghi chi</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40</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4</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Kinh phí được sử dụng trong năm (41= 36+38)</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41</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5</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Kinh phí đề nghị quyết toán</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42</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6</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Số dư kinh phí được phép chuyển sang năm sau sử dụng và quyết toán (43=41-42)</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43</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III</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NGUỒN VAY NỢ NƯỚC NGOÀI</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1</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Số dư kinh phí năm trước chuyển sang (44=45+46)</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44</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rPr>
            </w:pPr>
            <w:r w:rsidRPr="0014344B">
              <w:rPr>
                <w:rFonts w:ascii="Times New Roman" w:hAnsi="Times New Roman" w:cs="Times New Roman"/>
              </w:rPr>
              <w:t>- Kinh phí đã ghi tạm ứng</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45</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rPr>
            </w:pPr>
            <w:r w:rsidRPr="0014344B">
              <w:rPr>
                <w:rFonts w:ascii="Times New Roman" w:hAnsi="Times New Roman" w:cs="Times New Roman"/>
              </w:rPr>
              <w:t>- Số dư dự toán</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46</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2</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Dự toán được giao trong năm</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47</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3</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Tổng số được sử dụng trong năm (48= 44+47)</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48</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4</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Tổng kinh phí đã vay trong năm (49= 50+51)</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49</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rPr>
            </w:pPr>
            <w:r w:rsidRPr="0014344B">
              <w:rPr>
                <w:rFonts w:ascii="Times New Roman" w:hAnsi="Times New Roman" w:cs="Times New Roman"/>
              </w:rPr>
              <w:t>- Số đã ghi vay, ghi tạm ứng NSNN</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50</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rPr>
            </w:pPr>
            <w:r w:rsidRPr="0014344B">
              <w:rPr>
                <w:rFonts w:ascii="Times New Roman" w:hAnsi="Times New Roman" w:cs="Times New Roman"/>
              </w:rPr>
              <w:t>- Số đã ghi vay, ghi chi NSNN</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51</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5</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Kinh phí đơn vị đã sử dụng đề nghị quyết toán</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52</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6</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Kinh phí giảm trong năm (53=54+55+56)</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53</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rPr>
            </w:pPr>
            <w:r w:rsidRPr="0014344B">
              <w:rPr>
                <w:rFonts w:ascii="Times New Roman" w:hAnsi="Times New Roman" w:cs="Times New Roman"/>
              </w:rPr>
              <w:t>- Đã nộp NSNN</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54</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rPr>
            </w:pPr>
            <w:r w:rsidRPr="0014344B">
              <w:rPr>
                <w:rFonts w:ascii="Times New Roman" w:hAnsi="Times New Roman" w:cs="Times New Roman"/>
              </w:rPr>
              <w:t>- Còn phải nộp NSNN (55= 45+49-52- 54-58)</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55</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rPr>
            </w:pPr>
            <w:r w:rsidRPr="0014344B">
              <w:rPr>
                <w:rFonts w:ascii="Times New Roman" w:hAnsi="Times New Roman" w:cs="Times New Roman"/>
              </w:rPr>
              <w:t>- Dự toán bị hủy (56= 46+47-49-59)</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56</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7</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Kinh phí được phép chuyển sang năm sau sử dụng và quyết toán (57= 58+59)</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57</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rPr>
            </w:pPr>
            <w:r w:rsidRPr="0014344B">
              <w:rPr>
                <w:rFonts w:ascii="Times New Roman" w:hAnsi="Times New Roman" w:cs="Times New Roman"/>
              </w:rPr>
              <w:t>- Kinh phí đã ghi tạm ứng</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58</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rPr>
            </w:pPr>
            <w:r w:rsidRPr="0014344B">
              <w:rPr>
                <w:rFonts w:ascii="Times New Roman" w:hAnsi="Times New Roman" w:cs="Times New Roman"/>
              </w:rPr>
              <w:t>- Số dư dự toán</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59</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8</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Số đã giải ngân, rút vốn chưa hạch toán NSNN</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60</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B</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NGUỒN PHÍ ĐƯỢC KHẤU TRỪ ĐỂ LẠI</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1</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Số dư kinh phí chưa sử dụng năm trước chuyển sang (61=62+63)</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61</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 Kinh phí thường xuyên/tự chủ</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62</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 Kinh phí không thường xuyên/không tự chủ</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63</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2</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Dự toán được giao trong năm (64=65+66)</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64</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 Kinh phí thường xuyên/tự chủ</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65</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 Kinh phí không thường xuyên/không tự chủ</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66</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3</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Số thu được trong năm (67=68+69)</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67</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 xml:space="preserve">- Kinh phí thường </w:t>
            </w:r>
            <w:r w:rsidRPr="0014344B">
              <w:rPr>
                <w:rFonts w:ascii="Times New Roman" w:hAnsi="Times New Roman" w:cs="Times New Roman"/>
                <w:i/>
              </w:rPr>
              <w:lastRenderedPageBreak/>
              <w:t>xuyên/tự chủ</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lastRenderedPageBreak/>
              <w:t>68</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 Kinh phí không thường xuyên/không tự chủ</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69</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4</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Tổng số kinh phí được sử dụng trong năm (70=71+72)</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70</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 Kinh phí thường xuyên/tự chủ (71=62+68)</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71</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 Kinh phí không thường xuyên/không tự chủ (72=63+69)</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72</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5</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Số kinh phí đã sử dụng đề nghị quyết toán (73=74+75)</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73</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 Kinh phí thường xuyên/tự chủ</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74</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 Kinh phí không thường xuyên/không tự chủ</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75</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6</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Số dư kinh phí được phép chuyển sang năm sau sử dụng và quyết toán (76= 77+78)</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76</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 Kinh phí thường xuyên/tự chủ  (77=71-74)</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77</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 Kinh phí không thường xuyên/không tự chủ (78=72-75)</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78</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C</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NGUỒN HOẠT ĐỘNG KHÁC ĐƯỢC ĐỂ LẠI</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1</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 xml:space="preserve">Số dư kinh phí chưa sử dụng </w:t>
            </w:r>
            <w:r w:rsidRPr="0014344B">
              <w:rPr>
                <w:rFonts w:ascii="Times New Roman" w:hAnsi="Times New Roman" w:cs="Times New Roman"/>
                <w:b/>
              </w:rPr>
              <w:lastRenderedPageBreak/>
              <w:t>năm trước chuyển sang (79=80+81)</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lastRenderedPageBreak/>
              <w:t>79</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 Kinh phí thường xuyên/tự chủ</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80</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 Kinh phí không thường xuyên/không tự chủ</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81</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2</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Dự toán được giao trong năm (82=83+84)</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82</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 Kinh phí thường xuyên/tự chủ</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83</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 Kinh phí không thường xuyên/không tự chủ</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84</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3</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Số thu được trong năm (85=86+87)</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85</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 Kinh phí thường xuyên/tự chủ</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86</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 Kinh phí không thường xuyên/không tự chủ</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87</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4</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Tổng số kinh phí được sử dụng trong năm (88=89+90)</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88</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 Kinh phí thường xuyên/tự chủ (89=80+86)</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89</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 Kinh phí không thường xuyên/không tự chủ (90=81+87)</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90</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5</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Số kinh phí đã sử dụng đề nghị quyết toán (91=92+93)</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91</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 Kinh phí thường xuyên/tự chủ</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92</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i/>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 Kinh phí không thường xuyên/không tự chủ</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93</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b/>
              </w:rPr>
            </w:pPr>
            <w:r w:rsidRPr="0014344B">
              <w:rPr>
                <w:rFonts w:ascii="Times New Roman" w:hAnsi="Times New Roman" w:cs="Times New Roman"/>
                <w:b/>
              </w:rPr>
              <w:t>6</w:t>
            </w: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Số dư kinh phí được phép chuyển sang năm sau sử dụng và quyết toán (94=95+96)</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94</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 Kinh phí thường xuyên/tự chủ (95=89-92)</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95</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r w:rsidR="0014344B" w:rsidRPr="0014344B" w:rsidTr="007A40BC">
        <w:tblPrEx>
          <w:tblCellMar>
            <w:top w:w="0" w:type="dxa"/>
            <w:left w:w="0" w:type="dxa"/>
            <w:bottom w:w="0" w:type="dxa"/>
            <w:right w:w="0" w:type="dxa"/>
          </w:tblCellMar>
        </w:tblPrEx>
        <w:tc>
          <w:tcPr>
            <w:tcW w:w="28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1039" w:type="pct"/>
            <w:shd w:val="clear" w:color="auto" w:fill="FFFFFF"/>
            <w:vAlign w:val="center"/>
          </w:tcPr>
          <w:p w:rsidR="0014344B" w:rsidRPr="0014344B" w:rsidRDefault="0014344B" w:rsidP="007A40BC">
            <w:pPr>
              <w:tabs>
                <w:tab w:val="right" w:leader="dot" w:pos="8505"/>
              </w:tabs>
              <w:spacing w:before="120"/>
              <w:ind w:right="6"/>
              <w:rPr>
                <w:rFonts w:ascii="Times New Roman" w:hAnsi="Times New Roman" w:cs="Times New Roman"/>
                <w:i/>
              </w:rPr>
            </w:pPr>
            <w:r w:rsidRPr="0014344B">
              <w:rPr>
                <w:rFonts w:ascii="Times New Roman" w:hAnsi="Times New Roman" w:cs="Times New Roman"/>
                <w:i/>
              </w:rPr>
              <w:t>- Kinh phí không thường xuyên/không tự chủ (96=90-93)</w:t>
            </w:r>
          </w:p>
        </w:tc>
        <w:tc>
          <w:tcPr>
            <w:tcW w:w="2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r w:rsidRPr="0014344B">
              <w:rPr>
                <w:rFonts w:ascii="Times New Roman" w:hAnsi="Times New Roman" w:cs="Times New Roman"/>
              </w:rPr>
              <w:t>96</w:t>
            </w: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9"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430"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7"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c>
          <w:tcPr>
            <w:tcW w:w="535" w:type="pct"/>
            <w:shd w:val="clear" w:color="auto" w:fill="FFFFFF"/>
            <w:vAlign w:val="center"/>
          </w:tcPr>
          <w:p w:rsidR="0014344B" w:rsidRPr="0014344B" w:rsidRDefault="0014344B" w:rsidP="007A40BC">
            <w:pPr>
              <w:tabs>
                <w:tab w:val="right" w:leader="dot" w:pos="8505"/>
              </w:tabs>
              <w:spacing w:before="120"/>
              <w:ind w:right="6"/>
              <w:jc w:val="center"/>
              <w:rPr>
                <w:rFonts w:ascii="Times New Roman" w:hAnsi="Times New Roman" w:cs="Times New Roman"/>
              </w:rPr>
            </w:pPr>
          </w:p>
        </w:tc>
      </w:tr>
    </w:tbl>
    <w:p w:rsidR="0014344B" w:rsidRPr="0014344B" w:rsidRDefault="0014344B" w:rsidP="0014344B">
      <w:pPr>
        <w:tabs>
          <w:tab w:val="right" w:leader="dot" w:pos="8505"/>
        </w:tabs>
        <w:spacing w:before="120"/>
        <w:ind w:right="6"/>
        <w:rPr>
          <w:rFonts w:ascii="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010"/>
        <w:gridCol w:w="3009"/>
        <w:gridCol w:w="3007"/>
      </w:tblGrid>
      <w:tr w:rsidR="0014344B" w:rsidRPr="0014344B" w:rsidTr="007A40BC">
        <w:tc>
          <w:tcPr>
            <w:tcW w:w="1667" w:type="pct"/>
          </w:tcPr>
          <w:p w:rsidR="0014344B" w:rsidRPr="0014344B" w:rsidRDefault="0014344B" w:rsidP="007A40BC">
            <w:pPr>
              <w:spacing w:before="120"/>
              <w:jc w:val="center"/>
              <w:rPr>
                <w:rFonts w:ascii="Times New Roman" w:hAnsi="Times New Roman" w:cs="Times New Roman"/>
              </w:rPr>
            </w:pPr>
            <w:r w:rsidRPr="0014344B">
              <w:rPr>
                <w:rFonts w:ascii="Times New Roman" w:hAnsi="Times New Roman" w:cs="Times New Roman"/>
              </w:rPr>
              <w:br/>
            </w:r>
            <w:r w:rsidRPr="0014344B">
              <w:rPr>
                <w:rFonts w:ascii="Times New Roman" w:hAnsi="Times New Roman" w:cs="Times New Roman"/>
                <w:b/>
              </w:rPr>
              <w:t>NGƯỜI LẬP BIỂU</w:t>
            </w:r>
            <w:r w:rsidRPr="0014344B">
              <w:rPr>
                <w:rFonts w:ascii="Times New Roman" w:hAnsi="Times New Roman" w:cs="Times New Roman"/>
              </w:rPr>
              <w:br/>
            </w:r>
            <w:r w:rsidRPr="0014344B">
              <w:rPr>
                <w:rFonts w:ascii="Times New Roman" w:hAnsi="Times New Roman" w:cs="Times New Roman"/>
                <w:i/>
              </w:rPr>
              <w:t>(Ký, họ tên)</w:t>
            </w:r>
          </w:p>
        </w:tc>
        <w:tc>
          <w:tcPr>
            <w:tcW w:w="1667" w:type="pct"/>
          </w:tcPr>
          <w:p w:rsidR="0014344B" w:rsidRPr="0014344B" w:rsidRDefault="0014344B" w:rsidP="007A40BC">
            <w:pPr>
              <w:spacing w:before="120"/>
              <w:jc w:val="center"/>
              <w:rPr>
                <w:rFonts w:ascii="Times New Roman" w:hAnsi="Times New Roman" w:cs="Times New Roman"/>
              </w:rPr>
            </w:pPr>
            <w:r w:rsidRPr="0014344B">
              <w:rPr>
                <w:rFonts w:ascii="Times New Roman" w:hAnsi="Times New Roman" w:cs="Times New Roman"/>
              </w:rPr>
              <w:br/>
            </w:r>
            <w:r w:rsidRPr="0014344B">
              <w:rPr>
                <w:rFonts w:ascii="Times New Roman" w:hAnsi="Times New Roman" w:cs="Times New Roman"/>
                <w:b/>
              </w:rPr>
              <w:t>KẾ TOÁN TRƯỞNG</w:t>
            </w:r>
            <w:r w:rsidRPr="0014344B">
              <w:rPr>
                <w:rFonts w:ascii="Times New Roman" w:hAnsi="Times New Roman" w:cs="Times New Roman"/>
                <w:i/>
              </w:rPr>
              <w:br/>
              <w:t>(Ký, họ tên)</w:t>
            </w:r>
          </w:p>
        </w:tc>
        <w:tc>
          <w:tcPr>
            <w:tcW w:w="1667" w:type="pct"/>
          </w:tcPr>
          <w:p w:rsidR="0014344B" w:rsidRPr="0014344B" w:rsidRDefault="0014344B" w:rsidP="007A40BC">
            <w:pPr>
              <w:spacing w:before="120"/>
              <w:jc w:val="center"/>
              <w:rPr>
                <w:rFonts w:ascii="Times New Roman" w:hAnsi="Times New Roman" w:cs="Times New Roman"/>
                <w:i/>
              </w:rPr>
            </w:pPr>
            <w:r w:rsidRPr="0014344B">
              <w:rPr>
                <w:rFonts w:ascii="Times New Roman" w:hAnsi="Times New Roman" w:cs="Times New Roman"/>
                <w:i/>
              </w:rPr>
              <w:t>Lập, ngày... tháng... năm....</w:t>
            </w:r>
            <w:r w:rsidRPr="0014344B">
              <w:rPr>
                <w:rFonts w:ascii="Times New Roman" w:hAnsi="Times New Roman" w:cs="Times New Roman"/>
              </w:rPr>
              <w:t xml:space="preserve"> </w:t>
            </w:r>
            <w:r w:rsidRPr="0014344B">
              <w:rPr>
                <w:rFonts w:ascii="Times New Roman" w:hAnsi="Times New Roman" w:cs="Times New Roman"/>
              </w:rPr>
              <w:br/>
            </w:r>
            <w:r w:rsidRPr="0014344B">
              <w:rPr>
                <w:rFonts w:ascii="Times New Roman" w:hAnsi="Times New Roman" w:cs="Times New Roman"/>
                <w:b/>
              </w:rPr>
              <w:t>THỦ TRƯỞNG ĐƠN VỊ</w:t>
            </w:r>
            <w:r w:rsidRPr="0014344B">
              <w:rPr>
                <w:rFonts w:ascii="Times New Roman" w:hAnsi="Times New Roman" w:cs="Times New Roman"/>
              </w:rPr>
              <w:br/>
            </w:r>
            <w:r w:rsidRPr="0014344B">
              <w:rPr>
                <w:rFonts w:ascii="Times New Roman" w:hAnsi="Times New Roman" w:cs="Times New Roman"/>
                <w:i/>
              </w:rPr>
              <w:t>(Ký, họ tên, đóng dấu)</w:t>
            </w:r>
          </w:p>
        </w:tc>
      </w:tr>
    </w:tbl>
    <w:p w:rsidR="0014344B" w:rsidRPr="0014344B" w:rsidRDefault="0014344B" w:rsidP="0014344B">
      <w:pPr>
        <w:tabs>
          <w:tab w:val="right" w:leader="dot" w:pos="8505"/>
        </w:tabs>
        <w:spacing w:before="120"/>
        <w:ind w:right="6"/>
        <w:rPr>
          <w:rFonts w:ascii="Times New Roman" w:hAnsi="Times New Roman" w:cs="Times New Roman"/>
          <w:b/>
        </w:rPr>
      </w:pPr>
      <w:r w:rsidRPr="0014344B">
        <w:rPr>
          <w:rFonts w:ascii="Times New Roman" w:hAnsi="Times New Roman" w:cs="Times New Roman"/>
          <w:b/>
        </w:rPr>
        <w:t>Ghi chú:</w:t>
      </w:r>
    </w:p>
    <w:p w:rsidR="0014344B" w:rsidRPr="0014344B" w:rsidRDefault="0014344B" w:rsidP="0014344B">
      <w:pPr>
        <w:tabs>
          <w:tab w:val="right" w:leader="dot" w:pos="8505"/>
        </w:tabs>
        <w:spacing w:before="120"/>
        <w:ind w:right="6"/>
        <w:rPr>
          <w:rFonts w:ascii="Times New Roman" w:hAnsi="Times New Roman" w:cs="Times New Roman"/>
        </w:rPr>
      </w:pPr>
      <w:r w:rsidRPr="0014344B">
        <w:rPr>
          <w:rFonts w:ascii="Times New Roman" w:hAnsi="Times New Roman" w:cs="Times New Roman"/>
        </w:rPr>
        <w:t>Đối với đơn vị có hoạt động dịch vụ sự nghiệp công:</w:t>
      </w:r>
    </w:p>
    <w:p w:rsidR="0014344B" w:rsidRPr="0014344B" w:rsidRDefault="0014344B" w:rsidP="0014344B">
      <w:pPr>
        <w:tabs>
          <w:tab w:val="right" w:leader="dot" w:pos="8505"/>
        </w:tabs>
        <w:spacing w:before="120"/>
        <w:ind w:right="6"/>
        <w:rPr>
          <w:rFonts w:ascii="Times New Roman" w:hAnsi="Times New Roman" w:cs="Times New Roman"/>
        </w:rPr>
      </w:pPr>
      <w:r w:rsidRPr="0014344B">
        <w:rPr>
          <w:rFonts w:ascii="Times New Roman" w:hAnsi="Times New Roman" w:cs="Times New Roman"/>
        </w:rPr>
        <w:t>- Trường hợp được Nhà nước đặt hàng, giao nhiệm vụ, kinh phí thực hiện các chương trình, dự án bằng hình thức giao dự toán để thực hiện thì phải lập báo cáo quyết toán theo mẫu này.</w:t>
      </w:r>
    </w:p>
    <w:p w:rsidR="0014344B" w:rsidRPr="0014344B" w:rsidRDefault="0014344B" w:rsidP="0014344B">
      <w:pPr>
        <w:tabs>
          <w:tab w:val="right" w:leader="dot" w:pos="8505"/>
        </w:tabs>
        <w:spacing w:before="120"/>
        <w:ind w:right="6"/>
        <w:rPr>
          <w:rFonts w:ascii="Times New Roman" w:hAnsi="Times New Roman" w:cs="Times New Roman"/>
        </w:rPr>
      </w:pPr>
      <w:r w:rsidRPr="0014344B">
        <w:rPr>
          <w:rFonts w:ascii="Times New Roman" w:hAnsi="Times New Roman" w:cs="Times New Roman"/>
        </w:rPr>
        <w:t>- Trường hợp đơn vị nhận đặt hàng dưới hình thức ký hợp đồng dịch vụ thì không tổng hợp số liệu báo cáo quyết toán theo mẫu này, mà số liệu được tổng hợp vào doanh thu, chi phí của hoạt động sản xuất kinh doanh, dịch vụ và số liệu được phản ánh trên các báo cáo tài chính.</w:t>
      </w:r>
    </w:p>
    <w:p w:rsidR="00943631" w:rsidRPr="0014344B" w:rsidRDefault="00943631">
      <w:pPr>
        <w:rPr>
          <w:rFonts w:ascii="Times New Roman" w:hAnsi="Times New Roman" w:cs="Times New Roman"/>
        </w:rPr>
      </w:pPr>
    </w:p>
    <w:sectPr w:rsidR="00943631" w:rsidRPr="0014344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ejaVu Sans Condensed">
    <w:altName w:val="Arial Narrow"/>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44B"/>
    <w:rsid w:val="0014344B"/>
    <w:rsid w:val="009436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8F500-6840-4144-B019-7990AAAD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44B"/>
    <w:pPr>
      <w:widowControl w:val="0"/>
      <w:spacing w:after="0" w:line="240" w:lineRule="auto"/>
    </w:pPr>
    <w:rPr>
      <w:rFonts w:ascii="DejaVu Sans Condensed" w:eastAsia="DejaVu Sans Condensed" w:hAnsi="DejaVu Sans Condensed" w:cs="DejaVu Sans Condensed"/>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14344B"/>
    <w:pPr>
      <w:tabs>
        <w:tab w:val="left" w:pos="1152"/>
      </w:tabs>
      <w:spacing w:before="120" w:after="120" w:line="312" w:lineRule="auto"/>
    </w:pPr>
    <w:rPr>
      <w:rFonts w:ascii="Arial" w:eastAsia="Times New Roman" w:hAnsi="Arial" w:cs="Arial"/>
      <w:sz w:val="26"/>
      <w:szCs w:val="26"/>
      <w:lang w:val="en-US"/>
    </w:rPr>
  </w:style>
  <w:style w:type="table" w:styleId="TableGrid">
    <w:name w:val="Table Grid"/>
    <w:basedOn w:val="TableNormal"/>
    <w:rsid w:val="0014344B"/>
    <w:pPr>
      <w:widowControl w:val="0"/>
      <w:spacing w:after="0" w:line="240" w:lineRule="auto"/>
    </w:pPr>
    <w:rPr>
      <w:rFonts w:ascii="Courier New" w:eastAsia="Courier New" w:hAnsi="Courier New" w:cs="Courier New"/>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2024-03-18T03:32:00Z</dcterms:created>
  <dcterms:modified xsi:type="dcterms:W3CDTF">2024-03-18T03:32:00Z</dcterms:modified>
</cp:coreProperties>
</file>